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FDEE" w14:textId="77777777" w:rsidR="00793F68" w:rsidRPr="000834E4" w:rsidRDefault="00793F68" w:rsidP="00793F68">
      <w:pPr>
        <w:rPr>
          <w:rFonts w:ascii="Book Antiqua" w:hAnsi="Book Antiqua"/>
        </w:rPr>
      </w:pPr>
    </w:p>
    <w:p w14:paraId="1DDD62AA" w14:textId="77777777" w:rsidR="00891D3B" w:rsidRPr="000834E4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="Book Antiqua" w:hAnsi="Book Antiqua"/>
          <w:bCs/>
          <w:i/>
          <w:iCs/>
          <w:sz w:val="22"/>
          <w:szCs w:val="22"/>
        </w:rPr>
      </w:pP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Załącznik nr </w:t>
      </w:r>
      <w:r w:rsidR="000834E4" w:rsidRPr="000834E4">
        <w:rPr>
          <w:rFonts w:ascii="Book Antiqua" w:hAnsi="Book Antiqua"/>
          <w:bCs/>
          <w:i/>
          <w:iCs/>
          <w:sz w:val="22"/>
          <w:szCs w:val="22"/>
        </w:rPr>
        <w:t>4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 do zaproszenia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ab/>
      </w:r>
    </w:p>
    <w:p w14:paraId="511EC702" w14:textId="77777777" w:rsidR="00891D3B" w:rsidRPr="000834E4" w:rsidRDefault="00891D3B" w:rsidP="00793F68">
      <w:pPr>
        <w:rPr>
          <w:rFonts w:ascii="Book Antiqua" w:hAnsi="Book Antiqua"/>
        </w:rPr>
      </w:pPr>
    </w:p>
    <w:p w14:paraId="24C57ADC" w14:textId="77777777" w:rsidR="00793F68" w:rsidRPr="000834E4" w:rsidRDefault="00793F68" w:rsidP="00793F68">
      <w:pPr>
        <w:rPr>
          <w:rFonts w:ascii="Book Antiqua" w:hAnsi="Book Antiqua"/>
        </w:rPr>
      </w:pPr>
    </w:p>
    <w:p w14:paraId="47070950" w14:textId="77777777" w:rsidR="00793F68" w:rsidRPr="000834E4" w:rsidRDefault="00793F68" w:rsidP="00793F68">
      <w:pPr>
        <w:rPr>
          <w:rFonts w:ascii="Book Antiqua" w:hAnsi="Book Antiqua"/>
        </w:rPr>
      </w:pPr>
    </w:p>
    <w:p w14:paraId="73FD0F29" w14:textId="77777777" w:rsidR="00793F68" w:rsidRPr="000834E4" w:rsidRDefault="00D00DAF" w:rsidP="00793F68">
      <w:pPr>
        <w:rPr>
          <w:rFonts w:ascii="Book Antiqua" w:hAnsi="Book Antiqua"/>
        </w:rPr>
      </w:pPr>
      <w:r w:rsidRPr="000834E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B264F" wp14:editId="23495E7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942F" w14:textId="77777777" w:rsidR="00793F68" w:rsidRDefault="00793F68" w:rsidP="00793F68"/>
                          <w:p w14:paraId="460899B4" w14:textId="77777777" w:rsidR="00793F68" w:rsidRDefault="00793F68" w:rsidP="00793F68"/>
                          <w:p w14:paraId="52FD64EF" w14:textId="77777777" w:rsidR="00793F68" w:rsidRDefault="00793F68" w:rsidP="00793F68"/>
                          <w:p w14:paraId="5E15F6CB" w14:textId="77777777" w:rsidR="00793F68" w:rsidRDefault="00793F68" w:rsidP="00793F68"/>
                          <w:p w14:paraId="0BA9BF03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8B26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25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">
                <v:textbox style="mso-fit-shape-to-text:t">
                  <w:txbxContent>
                    <w:p w14:paraId="2D73942F" w14:textId="77777777" w:rsidR="00793F68" w:rsidRDefault="00793F68" w:rsidP="00793F68"/>
                    <w:p w14:paraId="460899B4" w14:textId="77777777" w:rsidR="00793F68" w:rsidRDefault="00793F68" w:rsidP="00793F68"/>
                    <w:p w14:paraId="52FD64EF" w14:textId="77777777" w:rsidR="00793F68" w:rsidRDefault="00793F68" w:rsidP="00793F68"/>
                    <w:p w14:paraId="5E15F6CB" w14:textId="77777777" w:rsidR="00793F68" w:rsidRDefault="00793F68" w:rsidP="00793F68"/>
                    <w:p w14:paraId="0BA9BF03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3B9493" w14:textId="77777777" w:rsidR="00793F68" w:rsidRPr="000834E4" w:rsidRDefault="00793F68" w:rsidP="00793F68">
      <w:pPr>
        <w:rPr>
          <w:rFonts w:ascii="Book Antiqua" w:hAnsi="Book Antiqua"/>
        </w:rPr>
      </w:pPr>
    </w:p>
    <w:p w14:paraId="5EBFAED5" w14:textId="77777777"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14:paraId="7AA2FCA3" w14:textId="77777777"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14:paraId="59C3028F" w14:textId="77777777" w:rsidR="00796226" w:rsidRPr="000834E4" w:rsidRDefault="00796226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p w14:paraId="2945FFD8" w14:textId="77777777" w:rsidR="000834E4" w:rsidRPr="000834E4" w:rsidRDefault="000834E4" w:rsidP="000834E4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834E4">
        <w:rPr>
          <w:rFonts w:ascii="Book Antiqua" w:hAnsi="Book Antiqua" w:cs="Calibri"/>
          <w:b/>
          <w:sz w:val="28"/>
          <w:szCs w:val="28"/>
        </w:rPr>
        <w:t>OŚWIADCZENIE</w:t>
      </w:r>
    </w:p>
    <w:p w14:paraId="7D74B76A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69B7A82A" w14:textId="51B34B3F" w:rsidR="00597333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/>
        </w:rPr>
      </w:pPr>
      <w:r w:rsidRPr="000834E4">
        <w:rPr>
          <w:rFonts w:ascii="Book Antiqua" w:hAnsi="Book Antiqua" w:cs="Calibri"/>
        </w:rPr>
        <w:t xml:space="preserve">Oświadczam, iż ubiegając się o zamówienie  na </w:t>
      </w:r>
      <w:r w:rsidR="005657EE" w:rsidRPr="005657EE">
        <w:rPr>
          <w:rFonts w:ascii="Book Antiqua" w:hAnsi="Book Antiqua"/>
        </w:rPr>
        <w:t xml:space="preserve">doposażenie pracowni szkolnych do naturalnych warunków pracy (zakup projektora i ekranu do podwieszania do pracowni szkolnych)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</w:t>
      </w:r>
      <w:bookmarkStart w:id="0" w:name="_GoBack"/>
      <w:bookmarkEnd w:id="0"/>
    </w:p>
    <w:p w14:paraId="72D02E33" w14:textId="77777777" w:rsidR="007A38FD" w:rsidRPr="000834E4" w:rsidRDefault="007A38FD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14:paraId="5F210AE4" w14:textId="77777777"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NIE ZACHODZĄ WOBEC WYKONAWCY, KTÓREGO REPREZENTUJĘ </w:t>
      </w:r>
    </w:p>
    <w:p w14:paraId="11ABAA6B" w14:textId="77777777"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14:paraId="01B57955" w14:textId="77777777"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przesłanki wykluczenia wykonawcy z udziału w postępowaniu wskazane w </w:t>
      </w:r>
      <w:r>
        <w:rPr>
          <w:rFonts w:ascii="Book Antiqua" w:hAnsi="Book Antiqua" w:cs="Calibri"/>
          <w:b/>
          <w:i/>
        </w:rPr>
        <w:t xml:space="preserve">pkt. </w:t>
      </w:r>
      <w:r w:rsidRPr="000834E4">
        <w:rPr>
          <w:rFonts w:ascii="Book Antiqua" w:hAnsi="Book Antiqua" w:cs="Calibri"/>
          <w:b/>
          <w:i/>
        </w:rPr>
        <w:t xml:space="preserve"> </w:t>
      </w:r>
      <w:r>
        <w:rPr>
          <w:rFonts w:ascii="Book Antiqua" w:hAnsi="Book Antiqua" w:cs="Calibri"/>
          <w:b/>
          <w:i/>
        </w:rPr>
        <w:t>8</w:t>
      </w:r>
      <w:r w:rsidRPr="000834E4">
        <w:rPr>
          <w:rFonts w:ascii="Book Antiqua" w:hAnsi="Book Antiqua" w:cs="Calibri"/>
          <w:b/>
          <w:i/>
        </w:rPr>
        <w:t>.3 zapytania ofertowego o następującej treści:</w:t>
      </w:r>
    </w:p>
    <w:p w14:paraId="29FC56AC" w14:textId="77777777" w:rsidR="000834E4" w:rsidRPr="000834E4" w:rsidRDefault="000834E4" w:rsidP="000834E4">
      <w:pPr>
        <w:pStyle w:val="Default"/>
        <w:spacing w:line="276" w:lineRule="auto"/>
        <w:ind w:firstLine="397"/>
        <w:jc w:val="both"/>
        <w:rPr>
          <w:rFonts w:ascii="Book Antiqua" w:hAnsi="Book Antiqua" w:cs="Calibri"/>
          <w:b/>
          <w:i/>
        </w:rPr>
      </w:pPr>
    </w:p>
    <w:p w14:paraId="5095BF14" w14:textId="77777777"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  <w:r w:rsidRPr="000834E4">
        <w:rPr>
          <w:rFonts w:ascii="Book Antiqua" w:hAnsi="Book Antiqua"/>
        </w:rPr>
        <w:t>Zamawiający wykluczy z udziału w postępowaniu wykonawcę, który:</w:t>
      </w:r>
    </w:p>
    <w:p w14:paraId="1BD054C2" w14:textId="77777777"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</w:p>
    <w:p w14:paraId="22505EEF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/>
          <w:color w:val="000000" w:themeColor="text1"/>
        </w:rPr>
      </w:pPr>
      <w:r w:rsidRPr="000834E4">
        <w:rPr>
          <w:rFonts w:ascii="Book Antiqua" w:hAnsi="Book Antiqua"/>
          <w:color w:val="000000" w:themeColor="text1"/>
        </w:rPr>
        <w:t xml:space="preserve">a)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hAnsi="Book Antiqu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</w:t>
      </w:r>
      <w:r w:rsidRPr="000834E4">
        <w:rPr>
          <w:rFonts w:ascii="Book Antiqua" w:hAnsi="Book Antiqua" w:cs="Open Sans"/>
          <w:color w:val="000000" w:themeColor="text1"/>
        </w:rPr>
        <w:t>;</w:t>
      </w:r>
    </w:p>
    <w:p w14:paraId="0056C31B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hAnsi="Book Antiqua"/>
          <w:color w:val="000000" w:themeColor="text1"/>
        </w:rPr>
        <w:t xml:space="preserve">b)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>
        <w:rPr>
          <w:rFonts w:ascii="Book Antiqua" w:eastAsia="Times New Roman" w:hAnsi="Book Antiqua" w:cs="Open Sans"/>
          <w:color w:val="000000" w:themeColor="text1"/>
          <w:lang w:eastAsia="pl-PL"/>
        </w:rPr>
        <w:br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o udzielenie zamówienia;</w:t>
      </w:r>
    </w:p>
    <w:p w14:paraId="1B8792D7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c)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B190624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d)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 xml:space="preserve">wykonawcę, który z innymi wykonawcami zawarł porozumienie mające na celu zakłócenie konkurencji między wykonawcami w postępowaniu o udzielenie 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lastRenderedPageBreak/>
        <w:t>zamówienia, co zamawiający jest w stanie wykazać za pomocą stosownych środków dowodowych;</w:t>
      </w:r>
    </w:p>
    <w:p w14:paraId="4A0D789B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e)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</w:r>
      <w:r w:rsidRPr="000834E4">
        <w:rPr>
          <w:rFonts w:ascii="Book Antiqua" w:hAnsi="Book Antiqua" w:cs="Open Sans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332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366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28 lutego 2003 r. - Prawo upadłościowe </w:t>
      </w:r>
      <w:r w:rsidRPr="000834E4">
        <w:rPr>
          <w:rFonts w:ascii="Book Antiqua" w:hAnsi="Book Antiqua" w:cs="Open Sans"/>
          <w:color w:val="000000" w:themeColor="text1"/>
        </w:rPr>
        <w:br/>
        <w:t>(Dz. U. z 2015 r. poz. 233, z późn. zm.);</w:t>
      </w:r>
    </w:p>
    <w:p w14:paraId="01D8B0DF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hAnsi="Book Antiqua" w:cs="Open Sans"/>
          <w:color w:val="000000" w:themeColor="text1"/>
        </w:rPr>
        <w:t>f)</w:t>
      </w:r>
      <w:r w:rsidRPr="000834E4">
        <w:rPr>
          <w:rFonts w:ascii="Book Antiqua" w:hAnsi="Book Antiqua" w:cs="Open Sans"/>
          <w:color w:val="000000" w:themeColor="text1"/>
        </w:rPr>
        <w:tab/>
        <w:t xml:space="preserve">który w sposób zawiniony poważnie naruszył obowiązki zawodowe, </w:t>
      </w:r>
      <w:r w:rsidRPr="000834E4">
        <w:rPr>
          <w:rFonts w:ascii="Book Antiqua" w:hAnsi="Book Antiqua" w:cs="Open Sans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zamówienie</w:t>
      </w:r>
      <w:r w:rsidRPr="000834E4">
        <w:rPr>
          <w:rFonts w:ascii="Book Antiqua" w:hAnsi="Book Antiqua" w:cs="Open Sans"/>
          <w:color w:val="000000" w:themeColor="text1"/>
        </w:rPr>
        <w:t>, co zamawiający jest w stanie wykazać za pomocą stosownych środków dowodowych;</w:t>
      </w:r>
    </w:p>
    <w:p w14:paraId="71061754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Style w:val="alb"/>
          <w:rFonts w:ascii="Book Antiqua" w:hAnsi="Book Antiqua" w:cs="Open Sans"/>
          <w:color w:val="000000" w:themeColor="text1"/>
        </w:rPr>
        <w:t xml:space="preserve">g) </w:t>
      </w:r>
      <w:r w:rsidRPr="000834E4">
        <w:rPr>
          <w:rFonts w:ascii="Book Antiqua" w:hAnsi="Book Antiqu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 publicznego</w:t>
      </w:r>
      <w:r w:rsidRPr="000834E4">
        <w:rPr>
          <w:rFonts w:ascii="Book Antiqua" w:hAnsi="Book Antiqu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11B9D3D4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21001C32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1C467C23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5715199D" w14:textId="77777777" w:rsidR="000834E4" w:rsidRPr="000834E4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Book Antiqua" w:eastAsia="Calibri" w:hAnsi="Book Antiq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0834E4" w14:paraId="2FE26A94" w14:textId="77777777" w:rsidTr="000834E4">
        <w:trPr>
          <w:trHeight w:val="79"/>
          <w:jc w:val="center"/>
        </w:trPr>
        <w:tc>
          <w:tcPr>
            <w:tcW w:w="4497" w:type="dxa"/>
          </w:tcPr>
          <w:p w14:paraId="5F848023" w14:textId="77777777"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</w:t>
            </w:r>
          </w:p>
          <w:p w14:paraId="7934B253" w14:textId="77777777"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75AA24C4" w14:textId="77777777"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……………………………………………</w:t>
            </w:r>
          </w:p>
          <w:p w14:paraId="1B5174E8" w14:textId="77777777"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(podpis osób(-y) uprawnionej</w:t>
            </w:r>
          </w:p>
          <w:p w14:paraId="1EFEABF2" w14:textId="77777777"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do składania oświadczenia</w:t>
            </w:r>
          </w:p>
          <w:p w14:paraId="2B171737" w14:textId="77777777"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woli w imieniu wykonawcy)</w:t>
            </w:r>
          </w:p>
        </w:tc>
      </w:tr>
    </w:tbl>
    <w:p w14:paraId="1C1F8230" w14:textId="77777777" w:rsidR="000834E4" w:rsidRPr="000834E4" w:rsidRDefault="000834E4" w:rsidP="000834E4">
      <w:pPr>
        <w:spacing w:line="276" w:lineRule="auto"/>
        <w:jc w:val="center"/>
        <w:rPr>
          <w:rFonts w:ascii="Book Antiqua" w:hAnsi="Book Antiqua"/>
        </w:rPr>
      </w:pPr>
    </w:p>
    <w:p w14:paraId="7FD23DC8" w14:textId="77777777" w:rsidR="000834E4" w:rsidRPr="000834E4" w:rsidRDefault="000834E4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sectPr w:rsidR="000834E4" w:rsidRPr="000834E4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67BB" w14:textId="77777777" w:rsidR="001F07A2" w:rsidRDefault="001F07A2">
      <w:r>
        <w:separator/>
      </w:r>
    </w:p>
  </w:endnote>
  <w:endnote w:type="continuationSeparator" w:id="0">
    <w:p w14:paraId="4B911C4C" w14:textId="77777777" w:rsidR="001F07A2" w:rsidRDefault="001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A743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477E0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2947" w14:textId="77777777" w:rsidR="001F07A2" w:rsidRDefault="001F07A2">
      <w:r>
        <w:separator/>
      </w:r>
    </w:p>
  </w:footnote>
  <w:footnote w:type="continuationSeparator" w:id="0">
    <w:p w14:paraId="7857E640" w14:textId="77777777" w:rsidR="001F07A2" w:rsidRDefault="001F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5B70" w14:textId="040C28E3" w:rsidR="00195F96" w:rsidRPr="005D261D" w:rsidRDefault="00597333" w:rsidP="008E6041">
    <w:pPr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7349D3C1" wp14:editId="092C502B">
          <wp:extent cx="678116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6B62D" w14:textId="7B43E039"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407791B2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6B3097CE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7D2C"/>
    <w:rsid w:val="001E0DC2"/>
    <w:rsid w:val="001E1331"/>
    <w:rsid w:val="001F07A2"/>
    <w:rsid w:val="001F6EE3"/>
    <w:rsid w:val="00200CC7"/>
    <w:rsid w:val="00203A00"/>
    <w:rsid w:val="002502B9"/>
    <w:rsid w:val="002509E3"/>
    <w:rsid w:val="00287FED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C05E0"/>
    <w:rsid w:val="004E28EF"/>
    <w:rsid w:val="004F4D99"/>
    <w:rsid w:val="00532B07"/>
    <w:rsid w:val="005657EE"/>
    <w:rsid w:val="0058529B"/>
    <w:rsid w:val="00592687"/>
    <w:rsid w:val="0059481E"/>
    <w:rsid w:val="00596041"/>
    <w:rsid w:val="00597333"/>
    <w:rsid w:val="005D261D"/>
    <w:rsid w:val="006101C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93F68"/>
    <w:rsid w:val="00796226"/>
    <w:rsid w:val="007A38FD"/>
    <w:rsid w:val="007A3DD3"/>
    <w:rsid w:val="007B20FC"/>
    <w:rsid w:val="007C378E"/>
    <w:rsid w:val="00814CEE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6212A"/>
    <w:rsid w:val="009832DE"/>
    <w:rsid w:val="009C65AF"/>
    <w:rsid w:val="009D321B"/>
    <w:rsid w:val="009F3790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F4F00"/>
    <w:rsid w:val="00D00DAF"/>
    <w:rsid w:val="00D210E1"/>
    <w:rsid w:val="00D37382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55A7B7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F5CE-147B-42F4-B339-D9A8CC72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11</cp:revision>
  <cp:lastPrinted>2016-07-01T06:55:00Z</cp:lastPrinted>
  <dcterms:created xsi:type="dcterms:W3CDTF">2017-03-20T09:05:00Z</dcterms:created>
  <dcterms:modified xsi:type="dcterms:W3CDTF">2019-05-10T04:21:00Z</dcterms:modified>
</cp:coreProperties>
</file>